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EA5" w14:textId="3ADE7CF3" w:rsidR="00C9414D" w:rsidRPr="00F77A89" w:rsidRDefault="00365A63">
      <w:pPr>
        <w:pStyle w:val="Standard"/>
        <w:rPr>
          <w:rFonts w:ascii="Ebrima" w:hAnsi="Ebri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81E21D" wp14:editId="4517BDF0">
                <wp:simplePos x="0" y="0"/>
                <wp:positionH relativeFrom="column">
                  <wp:posOffset>-177165</wp:posOffset>
                </wp:positionH>
                <wp:positionV relativeFrom="paragraph">
                  <wp:posOffset>-120015</wp:posOffset>
                </wp:positionV>
                <wp:extent cx="6685915" cy="1371600"/>
                <wp:effectExtent l="0" t="0" r="635" b="0"/>
                <wp:wrapNone/>
                <wp:docPr id="5" name="Vol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915" cy="137160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6F8FC"/>
                            </a:gs>
                            <a:gs pos="100000">
                              <a:srgbClr val="ABC0E4"/>
                            </a:gs>
                          </a:gsLst>
                          <a:lin ang="5400000"/>
                        </a:gra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5FF0" id="Volný tvar: obrazec 5" o:spid="_x0000_s1026" style="position:absolute;margin-left:-13.95pt;margin-top:-9.45pt;width:526.4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8591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" path="m228600,at,,457200,457200,228600,,,228600l,1143000at,914400,457200,1371600,,1143000,228600,1371600l6457315,1371600at6228715,914400,6685915,1371600,6457315,1371600,6685915,1143000l6685915,228600at6228715,,6685915,457200,6685915,228600,6457315,l228600,xe" fillcolor="#f6f8fc" strokecolor="#2f528f" strokeweight=".35281mm">
                <v:fill color2="#abc0e4" focus="100%" type="gradient">
                  <o:fill v:ext="view" type="gradientUnscaled"/>
                </v:fill>
                <v:stroke joinstyle="miter"/>
                <v:path arrowok="t" o:connecttype="custom" o:connectlocs="3342958,0;6685915,685800;3342958,1371600;0,685800" o:connectangles="270,0,90,180" textboxrect="66957,66957,6618958,1304643"/>
              </v:shape>
            </w:pict>
          </mc:Fallback>
        </mc:AlternateContent>
      </w:r>
      <w:r w:rsidR="00FB3C96">
        <w:t xml:space="preserve">        </w:t>
      </w:r>
      <w:r w:rsidRPr="00ED389F">
        <w:rPr>
          <w:noProof/>
        </w:rPr>
        <w:drawing>
          <wp:inline distT="0" distB="0" distL="0" distR="0" wp14:anchorId="52CC53A4" wp14:editId="68A69C32">
            <wp:extent cx="781050" cy="990600"/>
            <wp:effectExtent l="0" t="0" r="0" b="0"/>
            <wp:docPr id="1" name="Obrázek 13" descr="Kojení, Matka A Dítě, Dítě, Matka, Kojenec, Mlé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Kojení, Matka A Dítě, Dítě, Matka, Kojenec, Mlé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C96">
        <w:rPr>
          <w:rFonts w:ascii="Jokerman" w:hAnsi="Jokerman"/>
          <w:sz w:val="52"/>
          <w:szCs w:val="52"/>
          <w:lang w:val="cs-CZ"/>
        </w:rPr>
        <w:t xml:space="preserve"> </w:t>
      </w:r>
      <w:r w:rsidR="00FB3C96" w:rsidRPr="00F77A89">
        <w:rPr>
          <w:rFonts w:ascii="Ebrima" w:hAnsi="Ebrima"/>
          <w:sz w:val="96"/>
          <w:szCs w:val="96"/>
          <w:lang w:val="cs-CZ"/>
        </w:rPr>
        <w:t>10</w:t>
      </w:r>
      <w:r w:rsidR="00FB3C96" w:rsidRPr="00F77A89">
        <w:rPr>
          <w:rFonts w:ascii="Ebrima" w:hAnsi="Ebrima"/>
          <w:sz w:val="52"/>
          <w:szCs w:val="52"/>
          <w:lang w:val="cs-CZ"/>
        </w:rPr>
        <w:t xml:space="preserve"> krok</w:t>
      </w:r>
      <w:r w:rsidR="00FB3C96" w:rsidRPr="00F77A89">
        <w:rPr>
          <w:rFonts w:ascii="Ebrima" w:hAnsi="Ebrima" w:cs="Calibri"/>
          <w:sz w:val="52"/>
          <w:szCs w:val="52"/>
          <w:lang w:val="cs-CZ"/>
        </w:rPr>
        <w:t>ů</w:t>
      </w:r>
      <w:r w:rsidR="00FB3C96" w:rsidRPr="00F77A89">
        <w:rPr>
          <w:rFonts w:ascii="Ebrima" w:hAnsi="Ebrima"/>
          <w:sz w:val="52"/>
          <w:szCs w:val="52"/>
          <w:lang w:val="cs-CZ"/>
        </w:rPr>
        <w:t xml:space="preserve"> k úsp</w:t>
      </w:r>
      <w:r w:rsidR="00FB3C96" w:rsidRPr="00F77A89">
        <w:rPr>
          <w:rFonts w:ascii="Ebrima" w:hAnsi="Ebrima" w:cs="Calibri"/>
          <w:sz w:val="52"/>
          <w:szCs w:val="52"/>
          <w:lang w:val="cs-CZ"/>
        </w:rPr>
        <w:t>ě</w:t>
      </w:r>
      <w:r w:rsidR="00FB3C96" w:rsidRPr="00F77A89">
        <w:rPr>
          <w:rFonts w:ascii="Ebrima" w:hAnsi="Ebrima" w:cs="Elephant"/>
          <w:sz w:val="52"/>
          <w:szCs w:val="52"/>
          <w:lang w:val="cs-CZ"/>
        </w:rPr>
        <w:t>š</w:t>
      </w:r>
      <w:r w:rsidR="00FB3C96" w:rsidRPr="00F77A89">
        <w:rPr>
          <w:rFonts w:ascii="Ebrima" w:hAnsi="Ebrima"/>
          <w:sz w:val="52"/>
          <w:szCs w:val="52"/>
          <w:lang w:val="cs-CZ"/>
        </w:rPr>
        <w:t>n</w:t>
      </w:r>
      <w:r w:rsidR="00FB3C96" w:rsidRPr="00F77A89">
        <w:rPr>
          <w:rFonts w:ascii="Ebrima" w:hAnsi="Ebrima" w:cs="Elephant"/>
          <w:sz w:val="52"/>
          <w:szCs w:val="52"/>
          <w:lang w:val="cs-CZ"/>
        </w:rPr>
        <w:t>é</w:t>
      </w:r>
      <w:r w:rsidR="00FB3C96" w:rsidRPr="00F77A89">
        <w:rPr>
          <w:rFonts w:ascii="Ebrima" w:hAnsi="Ebrima"/>
          <w:sz w:val="52"/>
          <w:szCs w:val="52"/>
          <w:lang w:val="cs-CZ"/>
        </w:rPr>
        <w:t xml:space="preserve">mu kojení </w:t>
      </w:r>
    </w:p>
    <w:p w14:paraId="68F73510" w14:textId="77777777" w:rsidR="00C9414D" w:rsidRDefault="00C9414D">
      <w:pPr>
        <w:pStyle w:val="Standard"/>
        <w:rPr>
          <w:lang w:val="cs-CZ"/>
        </w:rPr>
      </w:pPr>
    </w:p>
    <w:p w14:paraId="6EBB9EB2" w14:textId="77777777" w:rsidR="00532C27" w:rsidRDefault="00532C27">
      <w:pPr>
        <w:pStyle w:val="Standard"/>
        <w:rPr>
          <w:rFonts w:ascii="Jokerman" w:hAnsi="Jokerman"/>
          <w:sz w:val="36"/>
          <w:szCs w:val="36"/>
          <w:lang w:val="cs-CZ"/>
        </w:rPr>
      </w:pPr>
    </w:p>
    <w:p w14:paraId="2EC4047B" w14:textId="2101BF07" w:rsidR="00C9414D" w:rsidRPr="00F77A89" w:rsidRDefault="00FB3C96">
      <w:pPr>
        <w:pStyle w:val="Standard"/>
        <w:rPr>
          <w:rFonts w:ascii="Ebrima" w:hAnsi="Ebrima"/>
        </w:rPr>
      </w:pPr>
      <w:r w:rsidRPr="00F77A89">
        <w:rPr>
          <w:rFonts w:ascii="Ebrima" w:hAnsi="Ebrima"/>
          <w:sz w:val="36"/>
          <w:szCs w:val="36"/>
          <w:u w:val="single"/>
          <w:lang w:val="cs-CZ"/>
        </w:rPr>
        <w:t>Klí</w:t>
      </w:r>
      <w:r w:rsidRPr="00F77A89">
        <w:rPr>
          <w:rFonts w:ascii="Ebrima" w:hAnsi="Ebrima" w:cs="Calibri"/>
          <w:sz w:val="36"/>
          <w:szCs w:val="36"/>
          <w:u w:val="single"/>
          <w:lang w:val="cs-CZ"/>
        </w:rPr>
        <w:t>čov</w:t>
      </w:r>
      <w:r w:rsidRPr="00F77A89">
        <w:rPr>
          <w:rFonts w:ascii="Ebrima" w:hAnsi="Ebrima" w:cs="Jokerman"/>
          <w:sz w:val="36"/>
          <w:szCs w:val="36"/>
          <w:u w:val="single"/>
          <w:lang w:val="cs-CZ"/>
        </w:rPr>
        <w:t>é</w:t>
      </w:r>
      <w:r w:rsidRPr="00F77A89">
        <w:rPr>
          <w:rFonts w:ascii="Ebrima" w:hAnsi="Ebrima" w:cs="Calibri"/>
          <w:sz w:val="36"/>
          <w:szCs w:val="36"/>
          <w:u w:val="single"/>
          <w:lang w:val="cs-CZ"/>
        </w:rPr>
        <w:t xml:space="preserve"> ř</w:t>
      </w:r>
      <w:r w:rsidRPr="00F77A89">
        <w:rPr>
          <w:rFonts w:ascii="Ebrima" w:hAnsi="Ebrima" w:cs="Jokerman"/>
          <w:sz w:val="36"/>
          <w:szCs w:val="36"/>
          <w:u w:val="single"/>
          <w:lang w:val="cs-CZ"/>
        </w:rPr>
        <w:t>í</w:t>
      </w:r>
      <w:r w:rsidRPr="00F77A89">
        <w:rPr>
          <w:rFonts w:ascii="Ebrima" w:hAnsi="Ebrima" w:cs="Calibri"/>
          <w:sz w:val="36"/>
          <w:szCs w:val="36"/>
          <w:u w:val="single"/>
          <w:lang w:val="cs-CZ"/>
        </w:rPr>
        <w:t>d</w:t>
      </w:r>
      <w:r w:rsidRPr="00F77A89">
        <w:rPr>
          <w:rFonts w:ascii="Ebrima" w:hAnsi="Ebrima" w:cs="Jokerman"/>
          <w:sz w:val="36"/>
          <w:szCs w:val="36"/>
          <w:u w:val="single"/>
          <w:lang w:val="cs-CZ"/>
        </w:rPr>
        <w:t>í</w:t>
      </w:r>
      <w:r w:rsidRPr="00F77A89">
        <w:rPr>
          <w:rFonts w:ascii="Ebrima" w:hAnsi="Ebrima" w:cs="Calibri"/>
          <w:sz w:val="36"/>
          <w:szCs w:val="36"/>
          <w:u w:val="single"/>
          <w:lang w:val="cs-CZ"/>
        </w:rPr>
        <w:t>c</w:t>
      </w:r>
      <w:r w:rsidRPr="00F77A89">
        <w:rPr>
          <w:rFonts w:ascii="Ebrima" w:hAnsi="Ebrima" w:cs="Jokerman"/>
          <w:sz w:val="36"/>
          <w:szCs w:val="36"/>
          <w:u w:val="single"/>
          <w:lang w:val="cs-CZ"/>
        </w:rPr>
        <w:t>í</w:t>
      </w:r>
      <w:r w:rsidRPr="00F77A89">
        <w:rPr>
          <w:rFonts w:ascii="Ebrima" w:hAnsi="Ebrima" w:cs="Calibri"/>
          <w:sz w:val="36"/>
          <w:szCs w:val="36"/>
          <w:u w:val="single"/>
          <w:lang w:val="cs-CZ"/>
        </w:rPr>
        <w:t xml:space="preserve"> postupy: </w:t>
      </w:r>
    </w:p>
    <w:p w14:paraId="30ECB93A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>1.a</w:t>
      </w:r>
      <w:r w:rsidRPr="00F77A89">
        <w:rPr>
          <w:rFonts w:ascii="Ebrima" w:hAnsi="Ebrima" w:cs="Calibri"/>
          <w:lang w:val="cs-CZ"/>
        </w:rPr>
        <w:tab/>
        <w:t>Plně dodržovat Mezinárodní kodex marketingu náhrad mateřského mléka a příslušná usnesení Světového zdravotnického shromáždění (WHA).</w:t>
      </w:r>
    </w:p>
    <w:p w14:paraId="048AB80C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>1.b.</w:t>
      </w:r>
      <w:r w:rsidRPr="00F77A89">
        <w:rPr>
          <w:rFonts w:ascii="Ebrima" w:hAnsi="Ebrima" w:cs="Calibri"/>
          <w:lang w:val="cs-CZ"/>
        </w:rPr>
        <w:tab/>
        <w:t>Mít písemně vypracovanou strategii výživy kojenců a seznamovat s ní zaměstnance a rodiče v rámci standardu péče.</w:t>
      </w:r>
    </w:p>
    <w:p w14:paraId="58C34CE5" w14:textId="1985DDBE" w:rsidR="00C9414D" w:rsidRPr="00F77A89" w:rsidRDefault="00FB3C96" w:rsidP="00365A63">
      <w:pPr>
        <w:pStyle w:val="Standard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>1.c.</w:t>
      </w:r>
      <w:r w:rsidRPr="00F77A89">
        <w:rPr>
          <w:rFonts w:ascii="Ebrima" w:hAnsi="Ebrima" w:cs="Calibri"/>
          <w:lang w:val="cs-CZ"/>
        </w:rPr>
        <w:tab/>
      </w:r>
      <w:r w:rsidR="006E775C">
        <w:rPr>
          <w:rFonts w:ascii="Ebrima" w:hAnsi="Ebrima" w:cs="Calibri"/>
          <w:lang w:val="cs-CZ"/>
        </w:rPr>
        <w:t>Z</w:t>
      </w:r>
      <w:r w:rsidRPr="00F77A89">
        <w:rPr>
          <w:rFonts w:ascii="Ebrima" w:hAnsi="Ebrima" w:cs="Calibri"/>
          <w:lang w:val="cs-CZ"/>
        </w:rPr>
        <w:t>avést systémy průběžného monitorování a správy dat.</w:t>
      </w:r>
    </w:p>
    <w:p w14:paraId="5769D14B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2. </w:t>
      </w:r>
      <w:r w:rsidRPr="00F77A89">
        <w:rPr>
          <w:rFonts w:ascii="Ebrima" w:hAnsi="Ebrima" w:cs="Calibri"/>
          <w:lang w:val="cs-CZ"/>
        </w:rPr>
        <w:tab/>
        <w:t xml:space="preserve">Postarat se o to, aby zaměstnanci měli dostatečné znalosti, kompetence a dovednosti pro podporu kojení. </w:t>
      </w:r>
    </w:p>
    <w:p w14:paraId="118F1DDD" w14:textId="77777777" w:rsidR="00C9414D" w:rsidRPr="00F77A89" w:rsidRDefault="00C9414D" w:rsidP="00365A63">
      <w:pPr>
        <w:pStyle w:val="Standard"/>
        <w:jc w:val="both"/>
        <w:rPr>
          <w:rFonts w:ascii="Ebrima" w:hAnsi="Ebrima" w:cs="Calibri"/>
          <w:sz w:val="28"/>
          <w:szCs w:val="28"/>
          <w:lang w:val="cs-CZ"/>
        </w:rPr>
      </w:pPr>
    </w:p>
    <w:p w14:paraId="3A79652D" w14:textId="77777777" w:rsidR="00C9414D" w:rsidRPr="00F77A89" w:rsidRDefault="00FB3C96">
      <w:pPr>
        <w:pStyle w:val="Standard"/>
        <w:rPr>
          <w:rFonts w:ascii="Ebrima" w:hAnsi="Ebrima"/>
        </w:rPr>
      </w:pPr>
      <w:r w:rsidRPr="00F77A89">
        <w:rPr>
          <w:rFonts w:ascii="Ebrima" w:hAnsi="Ebrima" w:cs="Calibri"/>
          <w:sz w:val="36"/>
          <w:szCs w:val="36"/>
          <w:u w:val="single"/>
          <w:lang w:val="cs-CZ"/>
        </w:rPr>
        <w:t>Klíčov</w:t>
      </w:r>
      <w:r w:rsidRPr="00F77A89">
        <w:rPr>
          <w:rFonts w:ascii="Ebrima" w:hAnsi="Ebrima" w:cs="Jokerman"/>
          <w:sz w:val="36"/>
          <w:szCs w:val="36"/>
          <w:u w:val="single"/>
          <w:lang w:val="cs-CZ"/>
        </w:rPr>
        <w:t>é</w:t>
      </w:r>
      <w:r w:rsidRPr="00F77A89">
        <w:rPr>
          <w:rFonts w:ascii="Ebrima" w:hAnsi="Ebrima" w:cs="Calibri"/>
          <w:sz w:val="36"/>
          <w:szCs w:val="36"/>
          <w:u w:val="single"/>
          <w:lang w:val="cs-CZ"/>
        </w:rPr>
        <w:t xml:space="preserve"> klinické postupy:</w:t>
      </w:r>
    </w:p>
    <w:p w14:paraId="5E2B4A89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3. </w:t>
      </w:r>
      <w:r w:rsidRPr="00F77A89">
        <w:rPr>
          <w:rFonts w:ascii="Ebrima" w:hAnsi="Ebrima" w:cs="Calibri"/>
          <w:lang w:val="cs-CZ"/>
        </w:rPr>
        <w:tab/>
        <w:t>Diskutovat o významu a praktickém zvládání kojení s těhotnými ženami a jejich rodinami.</w:t>
      </w:r>
    </w:p>
    <w:p w14:paraId="3DD745C8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4. </w:t>
      </w:r>
      <w:r w:rsidRPr="00F77A89">
        <w:rPr>
          <w:rFonts w:ascii="Ebrima" w:hAnsi="Ebrima" w:cs="Calibri"/>
          <w:lang w:val="cs-CZ"/>
        </w:rPr>
        <w:tab/>
        <w:t xml:space="preserve">Zajistit okamžitý a nepřerušovaný kontakt kůže na kůži a podporovat matky v tom, aby kojení zahájily co nejdříve po porodu. </w:t>
      </w:r>
    </w:p>
    <w:p w14:paraId="069CE599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5. </w:t>
      </w:r>
      <w:r w:rsidRPr="00F77A89">
        <w:rPr>
          <w:rFonts w:ascii="Ebrima" w:hAnsi="Ebrima" w:cs="Calibri"/>
          <w:lang w:val="cs-CZ"/>
        </w:rPr>
        <w:tab/>
        <w:t xml:space="preserve">Podporovat matky v zahájení a udržování kojení a ve zvládání běžných obtíží. </w:t>
      </w:r>
    </w:p>
    <w:p w14:paraId="4C20CD30" w14:textId="3714E92F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6. </w:t>
      </w:r>
      <w:r w:rsidRPr="00F77A89">
        <w:rPr>
          <w:rFonts w:ascii="Ebrima" w:hAnsi="Ebrima" w:cs="Calibri"/>
          <w:lang w:val="cs-CZ"/>
        </w:rPr>
        <w:tab/>
        <w:t>Nedávat kojeným novorozencům žádné jídlo nebo tekutiny jiné než mateřské mléko, pokud to není lékařsk</w:t>
      </w:r>
      <w:r w:rsidR="006E775C">
        <w:rPr>
          <w:rFonts w:ascii="Ebrima" w:hAnsi="Ebrima" w:cs="Calibri"/>
          <w:lang w:val="cs-CZ"/>
        </w:rPr>
        <w:t>y</w:t>
      </w:r>
      <w:r w:rsidRPr="00F77A89">
        <w:rPr>
          <w:rFonts w:ascii="Ebrima" w:hAnsi="Ebrima" w:cs="Calibri"/>
          <w:lang w:val="cs-CZ"/>
        </w:rPr>
        <w:t xml:space="preserve"> indikováno. </w:t>
      </w:r>
    </w:p>
    <w:p w14:paraId="216C8388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7. </w:t>
      </w:r>
      <w:r w:rsidRPr="00F77A89">
        <w:rPr>
          <w:rFonts w:ascii="Ebrima" w:hAnsi="Ebrima" w:cs="Calibri"/>
          <w:lang w:val="cs-CZ"/>
        </w:rPr>
        <w:tab/>
        <w:t xml:space="preserve">Umožnit matce a dítěti zůstat spolu; praktikovat </w:t>
      </w:r>
      <w:proofErr w:type="spellStart"/>
      <w:r w:rsidRPr="00F77A89">
        <w:rPr>
          <w:rFonts w:ascii="Ebrima" w:hAnsi="Ebrima" w:cs="Calibri"/>
          <w:lang w:val="cs-CZ"/>
        </w:rPr>
        <w:t>rooming</w:t>
      </w:r>
      <w:proofErr w:type="spellEnd"/>
      <w:r w:rsidRPr="00F77A89">
        <w:rPr>
          <w:rFonts w:ascii="Ebrima" w:hAnsi="Ebrima" w:cs="Calibri"/>
          <w:lang w:val="cs-CZ"/>
        </w:rPr>
        <w:t>-in 24 hodin denně.</w:t>
      </w:r>
    </w:p>
    <w:p w14:paraId="5AFEAAC2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8. </w:t>
      </w:r>
      <w:r w:rsidRPr="00F77A89">
        <w:rPr>
          <w:rFonts w:ascii="Ebrima" w:hAnsi="Ebrima" w:cs="Calibri"/>
          <w:lang w:val="cs-CZ"/>
        </w:rPr>
        <w:tab/>
        <w:t xml:space="preserve">Podpořit matky v tom, aby u svého dítěte rozpoznaly signály ke krmení a reagovaly na ně. </w:t>
      </w:r>
    </w:p>
    <w:p w14:paraId="76E9B0B6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Ebrima" w:hAnsi="Ebrima" w:cs="Calibri"/>
          <w:lang w:val="cs-CZ"/>
        </w:rPr>
      </w:pPr>
      <w:r w:rsidRPr="00F77A89">
        <w:rPr>
          <w:rFonts w:ascii="Ebrima" w:hAnsi="Ebrima" w:cs="Calibri"/>
          <w:lang w:val="cs-CZ"/>
        </w:rPr>
        <w:t>9.</w:t>
      </w:r>
      <w:r w:rsidRPr="00F77A89">
        <w:rPr>
          <w:rFonts w:ascii="Ebrima" w:hAnsi="Ebrima" w:cs="Calibri"/>
          <w:lang w:val="cs-CZ"/>
        </w:rPr>
        <w:tab/>
        <w:t xml:space="preserve">Poskytovat matkám rady ohledně používání lahviček, šidítek a dudlíků a rizik s tím spojených. </w:t>
      </w:r>
    </w:p>
    <w:p w14:paraId="7E2D26F5" w14:textId="77777777" w:rsidR="00C9414D" w:rsidRPr="00F77A89" w:rsidRDefault="00FB3C96" w:rsidP="00365A63">
      <w:pPr>
        <w:pStyle w:val="Standard"/>
        <w:ind w:left="705" w:hanging="705"/>
        <w:jc w:val="both"/>
        <w:rPr>
          <w:rFonts w:ascii="Calibri" w:hAnsi="Calibri" w:cs="Calibri"/>
          <w:lang w:val="cs-CZ"/>
        </w:rPr>
      </w:pPr>
      <w:r w:rsidRPr="00F77A89">
        <w:rPr>
          <w:rFonts w:ascii="Ebrima" w:hAnsi="Ebrima" w:cs="Calibri"/>
          <w:lang w:val="cs-CZ"/>
        </w:rPr>
        <w:t xml:space="preserve">10. </w:t>
      </w:r>
      <w:r w:rsidRPr="00F77A89">
        <w:rPr>
          <w:rFonts w:ascii="Ebrima" w:hAnsi="Ebrima" w:cs="Calibri"/>
          <w:lang w:val="cs-CZ"/>
        </w:rPr>
        <w:tab/>
        <w:t>Koordinovat propuštění tak, aby měl rodič s dítětem včasný přístup k průběžné podpoře a péči</w:t>
      </w:r>
      <w:r w:rsidRPr="00F77A89">
        <w:rPr>
          <w:rFonts w:ascii="Calibri" w:hAnsi="Calibri" w:cs="Calibri"/>
          <w:lang w:val="cs-CZ"/>
        </w:rPr>
        <w:t xml:space="preserve">. </w:t>
      </w:r>
    </w:p>
    <w:p w14:paraId="253C7420" w14:textId="77777777" w:rsidR="00C9414D" w:rsidRDefault="00C9414D">
      <w:pPr>
        <w:pStyle w:val="Standard"/>
        <w:rPr>
          <w:rFonts w:ascii="Calibri" w:hAnsi="Calibri" w:cs="Calibri"/>
          <w:lang w:val="cs-CZ"/>
        </w:rPr>
      </w:pPr>
    </w:p>
    <w:p w14:paraId="1B3FB17D" w14:textId="62D1565E" w:rsidR="00C9414D" w:rsidRDefault="00365A63">
      <w:pPr>
        <w:pStyle w:val="Standard"/>
      </w:pPr>
      <w:r w:rsidRPr="00ED389F">
        <w:rPr>
          <w:noProof/>
        </w:rPr>
        <w:drawing>
          <wp:inline distT="0" distB="0" distL="0" distR="0" wp14:anchorId="03B1A402" wp14:editId="7EF6F2E6">
            <wp:extent cx="1419225" cy="1047750"/>
            <wp:effectExtent l="0" t="0" r="0" b="0"/>
            <wp:docPr id="2" name="obrázek 5" descr="Děkovný dopis z organizace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ěkovný dopis z organizace UNIC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C96">
        <w:rPr>
          <w:lang w:val="cs-CZ"/>
        </w:rPr>
        <w:t xml:space="preserve">                  </w:t>
      </w:r>
      <w:r w:rsidRPr="00ED389F">
        <w:rPr>
          <w:noProof/>
        </w:rPr>
        <w:drawing>
          <wp:inline distT="0" distB="0" distL="0" distR="0" wp14:anchorId="50ED83A4" wp14:editId="403E4750">
            <wp:extent cx="1428750" cy="1038225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C96">
        <w:rPr>
          <w:lang w:val="cs-CZ"/>
        </w:rPr>
        <w:t xml:space="preserve">               </w:t>
      </w:r>
      <w:r w:rsidRPr="00ED389F">
        <w:rPr>
          <w:noProof/>
        </w:rPr>
        <w:drawing>
          <wp:inline distT="0" distB="0" distL="0" distR="0" wp14:anchorId="42E01D25" wp14:editId="279099CA">
            <wp:extent cx="2124075" cy="828675"/>
            <wp:effectExtent l="0" t="0" r="0" b="0"/>
            <wp:docPr id="4" name="obrázek 6" descr="World Health Organization Logo, history, meaning, symbol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World Health Organization Logo, history, meaning, symbol,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8D549" w14:textId="77777777" w:rsidR="00C9414D" w:rsidRDefault="00C9414D">
      <w:pPr>
        <w:pStyle w:val="Standard"/>
        <w:rPr>
          <w:lang w:val="cs-CZ"/>
        </w:rPr>
      </w:pPr>
    </w:p>
    <w:p w14:paraId="2114B0C9" w14:textId="77777777" w:rsidR="00E42B6B" w:rsidRDefault="00E42B6B">
      <w:pPr>
        <w:pStyle w:val="Standard"/>
      </w:pPr>
    </w:p>
    <w:p w14:paraId="1D6B394C" w14:textId="6B1F0BCD" w:rsidR="00C9414D" w:rsidRDefault="00FB3C96" w:rsidP="00E42B6B">
      <w:pPr>
        <w:pStyle w:val="Standard"/>
        <w:jc w:val="center"/>
      </w:pPr>
      <w:r>
        <w:t xml:space="preserve">Original: </w:t>
      </w:r>
      <w:hyperlink r:id="rId10" w:history="1">
        <w:r>
          <w:rPr>
            <w:rStyle w:val="Hyperlink"/>
          </w:rPr>
          <w:t>http://www.who.int/nutrition/bfhi/ten-steps/en/</w:t>
        </w:r>
      </w:hyperlink>
    </w:p>
    <w:sectPr w:rsidR="00C9414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69C3" w14:textId="77777777" w:rsidR="0081013E" w:rsidRDefault="0081013E">
      <w:r>
        <w:separator/>
      </w:r>
    </w:p>
  </w:endnote>
  <w:endnote w:type="continuationSeparator" w:id="0">
    <w:p w14:paraId="58BB0B56" w14:textId="77777777" w:rsidR="0081013E" w:rsidRDefault="0081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Jokerman">
    <w:panose1 w:val="040906050600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015D" w14:textId="77777777" w:rsidR="0081013E" w:rsidRDefault="0081013E">
      <w:r>
        <w:rPr>
          <w:color w:val="000000"/>
        </w:rPr>
        <w:separator/>
      </w:r>
    </w:p>
  </w:footnote>
  <w:footnote w:type="continuationSeparator" w:id="0">
    <w:p w14:paraId="7D7E375D" w14:textId="77777777" w:rsidR="0081013E" w:rsidRDefault="0081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4D"/>
    <w:rsid w:val="002F6648"/>
    <w:rsid w:val="00365A63"/>
    <w:rsid w:val="0045687E"/>
    <w:rsid w:val="00532C27"/>
    <w:rsid w:val="006E775C"/>
    <w:rsid w:val="007A77D8"/>
    <w:rsid w:val="0081013E"/>
    <w:rsid w:val="00B80FC1"/>
    <w:rsid w:val="00C9414D"/>
    <w:rsid w:val="00E130ED"/>
    <w:rsid w:val="00E42B6B"/>
    <w:rsid w:val="00F77A89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4AAEC"/>
  <w15:docId w15:val="{9DEA4440-AF37-4483-8BA7-97BC4B8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who.int/nutrition/bfhi/ten-steps/e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http://www.who.int/nutrition/bfhi/ten-steps/en/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Dokoupilová Milena, MUDr.</dc:creator>
  <cp:keywords/>
  <cp:lastModifiedBy>Peter Korcek</cp:lastModifiedBy>
  <cp:revision>7</cp:revision>
  <dcterms:created xsi:type="dcterms:W3CDTF">2022-03-22T08:22:00Z</dcterms:created>
  <dcterms:modified xsi:type="dcterms:W3CDTF">2022-03-22T17:01:00Z</dcterms:modified>
</cp:coreProperties>
</file>